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core.xml" ContentType="application/vnd.openxmlformats-package.core-properties+xml"/>
</Types>
</file>

<file path=_rels\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package/2006/relationships/metadata/core-properties" Target="docProps/core.xml"></Relationship><Relationship Id="rId3" Type="http://schemas.openxmlformats.org/officeDocument/2006/relationships/extended-properties" Target="docProps/app.xml"></Relationship></Relationships>
</file>

<file path=docProps\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\core.xml><?xml version="1.0" encoding="utf-8"?>
<cp:coreProperties xmlns:dcmitype="http://purl.org/dc/dcmitype/" xmlns:dc="http://purl.org/dc/elements/1.1/" xmlns:cp="http://schemas.openxmlformats.org/package/2006/metadata/core-properties" xmlns:dcterms="http://purl.org/dc/terms/">
  <dc:creator>KBIA</dc:creator>
  <dc:title>시험</dc:title>
</cp:coreProperties>
</file>

<file path=word\_rels\comments.xml.rels><?xml version="1.0" encoding="UTF-8" standalone="yes"?><Relationships xmlns="http://schemas.openxmlformats.org/package/2006/relationships"></Relationships>
</file>

<file path=word\_rels\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></Relationship><Relationship Id="rId2" Type="http://schemas.openxmlformats.org/officeDocument/2006/relationships/settings" Target="settings.xml"></Relationship><Relationship Id="rId3" Type="http://schemas.openxmlformats.org/officeDocument/2006/relationships/webSettings" Target="webSettings.xml"></Relationship><Relationship Id="rId4" Type="http://schemas.openxmlformats.org/officeDocument/2006/relationships/footnotes" Target="footnotes.xml"></Relationship><Relationship Id="rId5" Type="http://schemas.openxmlformats.org/officeDocument/2006/relationships/endnotes" Target="endnotes.xml"></Relationship><Relationship Id="rId6" Type="http://schemas.openxmlformats.org/officeDocument/2006/relationships/fontTable" Target="fontTable.xml"></Relationship><Relationship Id="rId7" Type="http://schemas.openxmlformats.org/officeDocument/2006/relationships/theme" Target="theme/theme1.xml"></Relationship><Relationship Id="rId8" Type="http://schemas.openxmlformats.org/officeDocument/2006/relationships/numbering" Target="numbering.xml"></Relationship></Relationships>
</file>

<file path=word\_rels\endnotes.xml.rels><?xml version="1.0" encoding="UTF-8" standalone="yes"?><Relationships xmlns="http://schemas.openxmlformats.org/package/2006/relationships"></Relationships>
</file>

<file path=word\_rels\footnotes.xml.rels><?xml version="1.0" encoding="UTF-8" standalone="yes"?><Relationships xmlns="http://schemas.openxmlformats.org/package/2006/relationships"></Relationships>
</file>

<file path=word\_rels\numbering.xml.rels><?xml version="1.0" encoding="UTF-8" standalone="yes"?><Relationships xmlns="http://schemas.openxmlformats.org/package/2006/relationships"></Relationships>
</file>

<file path=word\document.xml><?xml version="1.0" encoding="utf-8"?>
<w:document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body>
    <w:p>
      <w:pPr>
        <w:pStyle w:val="custom0"/>
        <w:tabs/>
        <w:rPr>
          <w:rFonts w:ascii="HY신명조" w:hAnsi="Arial Unicode MS" w:eastAsia="HY신명조" w:cs="HY신명조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</w:pPr>
      <w:r>
        <w:rPr>
          <w:rStyle w:val="custom0"/>
          <w:rFonts w:ascii="HY신명조" w:hAnsi="Arial Unicode MS" w:eastAsia="HY신명조" w:cs="HY신명조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 xml:space="preserve">[</w:t>
      </w:r>
      <w:r>
        <w:rPr>
          <w:rStyle w:val="custom0"/>
          <w:rFonts w:ascii="HY신명조" w:hAnsi="Arial Unicode MS" w:eastAsia="HY신명조" w:cs="HY신명조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 xml:space="preserve">별지 </w:t>
      </w:r>
      <w:r>
        <w:rPr>
          <w:rStyle w:val="custom0"/>
          <w:rFonts w:ascii="HY신명조" w:hAnsi="Arial Unicode MS" w:eastAsia="HY신명조" w:cs="HY신명조"/>
          <w:b w:val="1"/>
          <w:bCs w:val="1"/>
          <w:i w:val="0"/>
          <w:iCs w:val="0"/>
          <w:outline w:val="0"/>
          <w:shadow w:val="0"/>
          <w:emboss w:val="0"/>
          <w:imprint w:val="0"/>
          <w:color w:val="0000ff"/>
          <w:spacing w:val="0"/>
          <w:w w:val="100"/>
          <w:position w:val="0"/>
          <w:sz w:val="24"/>
          <w:szCs w:val="24"/>
          <w:shd w:val="clear" w:color="auto" w:fill="auto"/>
        </w:rPr>
        <w:t xml:space="preserve">제</w:t>
      </w:r>
      <w:r>
        <w:rPr>
          <w:rStyle w:val="custom0"/>
          <w:rFonts w:ascii="HY신명조" w:hAnsi="Arial Unicode MS" w:eastAsia="HY신명조" w:cs="HY신명조"/>
          <w:b w:val="1"/>
          <w:bCs w:val="1"/>
          <w:i w:val="0"/>
          <w:iCs w:val="0"/>
          <w:outline w:val="0"/>
          <w:shadow w:val="0"/>
          <w:emboss w:val="0"/>
          <w:imprint w:val="0"/>
          <w:color w:val="0000ff"/>
          <w:spacing w:val="0"/>
          <w:w w:val="100"/>
          <w:position w:val="0"/>
          <w:sz w:val="24"/>
          <w:szCs w:val="24"/>
          <w:shd w:val="clear" w:color="auto" w:fill="auto"/>
        </w:rPr>
        <w:t xml:space="preserve">13</w:t>
      </w:r>
      <w:r>
        <w:rPr>
          <w:rStyle w:val="custom0"/>
          <w:rFonts w:ascii="HY신명조" w:hAnsi="Arial Unicode MS" w:eastAsia="HY신명조" w:cs="HY신명조"/>
          <w:b w:val="1"/>
          <w:bCs w:val="1"/>
          <w:i w:val="0"/>
          <w:iCs w:val="0"/>
          <w:outline w:val="0"/>
          <w:shadow w:val="0"/>
          <w:emboss w:val="0"/>
          <w:imprint w:val="0"/>
          <w:color w:val="0000ff"/>
          <w:spacing w:val="0"/>
          <w:w w:val="100"/>
          <w:position w:val="0"/>
          <w:sz w:val="24"/>
          <w:szCs w:val="24"/>
          <w:shd w:val="clear" w:color="auto" w:fill="auto"/>
        </w:rPr>
        <w:t xml:space="preserve">호</w:t>
      </w:r>
      <w:r>
        <w:rPr>
          <w:rStyle w:val="custom0"/>
          <w:rFonts w:ascii="HY신명조" w:hAnsi="Arial Unicode MS" w:eastAsia="HY신명조" w:cs="HY신명조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 xml:space="preserve">]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1"/>
        <w:autoSpaceDE w:val="0"/>
        <w:autoSpaceDN w:val="0"/>
        <w:snapToGrid w:val="1"/>
        <w:spacing w:before="0" w:after="0" w:line="249" w:lineRule="auto"/>
        <w:ind w:left="0" w:right="0" w:hanging="0"/>
        <w:jc w:val="center"/>
        <w:rPr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40"/>
          <w:szCs w:val="4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40"/>
          <w:szCs w:val="40"/>
          <w:shd w:val="clear" w:color="auto" w:fill="auto"/>
        </w:rPr>
        <w:t xml:space="preserve">시험업무 위탁 계약서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1"/>
        <w:autoSpaceDE w:val="0"/>
        <w:autoSpaceDN w:val="0"/>
        <w:snapToGrid w:val="1"/>
        <w:spacing w:before="0" w:after="0" w:line="249" w:lineRule="auto"/>
        <w:ind w:left="0" w:right="0" w:hanging="0"/>
        <w:jc w:val="center"/>
        <w:rPr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r>
    </w:p>
    <w:p>
      <w:pPr>
        <w:pStyle w:val="custom0"/>
        <w:tabs/>
        <w:rPr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 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1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조 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(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목적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)</w:t>
      </w:r>
    </w:p>
    <w:p>
      <w:pPr>
        <w:pStyle w:val="custom0"/>
        <w:tabs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  이 계약은 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한국배터리산업협회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(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이하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이라 함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)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가 위탁업무계약 및 관리 절차에 따라 인증 신청제품의 인증기준 적합여부를 확인하기 위하여 시험업무를 ㅇㅇㅇㅇㅇ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(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이하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이라 함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)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에게 의뢰하고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은 이를 실시함에 있어 효율성을 기하기 위하여 필요한 사항을 정함을 목적으로 한다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</w:t>
      </w:r>
    </w:p>
    <w:p>
      <w:pPr>
        <w:pStyle w:val="custom0"/>
        <w:tabs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r>
    </w:p>
    <w:p>
      <w:pPr>
        <w:pStyle w:val="custom0"/>
        <w:tabs/>
        <w:rPr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 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2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조 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(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위탁업무범위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)</w:t>
      </w:r>
    </w:p>
    <w:p>
      <w:pPr>
        <w:pStyle w:val="custom0"/>
        <w:tabs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7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7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7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7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7"/>
          <w:w w:val="100"/>
          <w:position w:val="0"/>
          <w:sz w:val="30"/>
          <w:szCs w:val="30"/>
          <w:shd w:val="clear" w:color="auto" w:fill="auto"/>
        </w:rPr>
        <w:t xml:space="preserve">은 계약기간 내에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7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7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7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7"/>
          <w:w w:val="100"/>
          <w:position w:val="0"/>
          <w:sz w:val="30"/>
          <w:szCs w:val="30"/>
          <w:shd w:val="clear" w:color="auto" w:fill="auto"/>
        </w:rPr>
        <w:t xml:space="preserve">의 제품인증 대상 제품에 대해 다음 내용을 수행하여야 한다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7"/>
          <w:w w:val="100"/>
          <w:position w:val="0"/>
          <w:sz w:val="30"/>
          <w:szCs w:val="30"/>
          <w:shd w:val="clear" w:color="auto" w:fill="auto"/>
        </w:rPr>
        <w:t xml:space="preserve">.</w:t>
      </w:r>
    </w:p>
    <w:p>
      <w:pPr>
        <w:pStyle w:val="custom0"/>
        <w:tabs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1.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의 인증신청제품에 대한 시험업무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: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시험분야 및 항목은 다음과 같다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 </w:t>
      </w:r>
    </w:p>
    <w:p>
      <w:pPr>
        <w:pStyle w:val="custom0"/>
        <w:tabs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 xml:space="preserve">*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 xml:space="preserve">시험 분야별 자세한 시험 항목은 단체표준 업무규정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ff"/>
          <w:spacing w:val="0"/>
          <w:w w:val="100"/>
          <w:position w:val="0"/>
          <w:sz w:val="26"/>
          <w:szCs w:val="26"/>
          <w:shd w:val="clear" w:color="auto" w:fill="auto"/>
        </w:rPr>
        <w:t xml:space="preserve">[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ff"/>
          <w:spacing w:val="0"/>
          <w:w w:val="100"/>
          <w:position w:val="0"/>
          <w:sz w:val="26"/>
          <w:szCs w:val="26"/>
          <w:shd w:val="clear" w:color="auto" w:fill="auto"/>
        </w:rPr>
        <w:t xml:space="preserve">별표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ff"/>
          <w:spacing w:val="0"/>
          <w:w w:val="100"/>
          <w:position w:val="0"/>
          <w:sz w:val="26"/>
          <w:szCs w:val="26"/>
          <w:shd w:val="clear" w:color="auto" w:fill="auto"/>
        </w:rPr>
        <w:t xml:space="preserve">7]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 xml:space="preserve">의 각 인증심사 기준을 참조한다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 xml:space="preserve">.</w:t>
      </w:r>
    </w:p>
    <w:tbl>
      <w:tblPr>
        <w:jc w:val="center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812"/>
        <w:gridCol w:w="6169"/>
        <w:gridCol w:w="1014"/>
      </w:tblGrid>
      <w:tr>
        <w:trPr>
          <w:trHeight w:val="56" w:hRule="atLeast"/>
          <w:cantSplit w:val="0"/>
        </w:trPr>
        <w:tc>
          <w:tcPr>
            <w:tcW w:w="8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번호</w:t>
            </w:r>
          </w:p>
        </w:tc>
        <w:tc>
          <w:tcPr>
            <w:tcW w:w="61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제품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(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시험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)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분야</w:t>
            </w:r>
          </w:p>
        </w:tc>
        <w:tc>
          <w:tcPr>
            <w:tcW w:w="10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시험항목</w:t>
            </w:r>
          </w:p>
        </w:tc>
      </w:tr>
      <w:tr>
        <w:trPr>
          <w:trHeight w:val="896" w:hRule="atLeast"/>
          <w:cantSplit w:val="0"/>
        </w:trPr>
        <w:tc>
          <w:tcPr>
            <w:tcW w:w="8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</w:t>
            </w:r>
          </w:p>
        </w:tc>
        <w:tc>
          <w:tcPr>
            <w:tcW w:w="61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SPS-C KBIA-10104-03-7312,</w:t>
            </w:r>
            <w:r>
              <w:br w:type="textWrapping"/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에너지저장시스템용 리튬이차전지시스템 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— 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성능과 안전</w:t>
            </w:r>
          </w:p>
        </w:tc>
        <w:tc>
          <w:tcPr>
            <w:tcW w:w="10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375" w:right="0" w:hanging="375"/>
              <w:jc w:val="center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전 항목</w:t>
            </w:r>
          </w:p>
        </w:tc>
      </w:tr>
      <w:tr>
        <w:trPr>
          <w:trHeight w:val="896" w:hRule="atLeast"/>
          <w:cantSplit w:val="0"/>
        </w:trPr>
        <w:tc>
          <w:tcPr>
            <w:tcW w:w="8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</w:t>
            </w:r>
          </w:p>
        </w:tc>
        <w:tc>
          <w:tcPr>
            <w:tcW w:w="61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SPS-C KBIA-10304-02-7386,</w:t>
            </w:r>
          </w:p>
          <w:p>
            <w:pPr>
              <w:pStyle w:val="custom0"/>
              <w:tabs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3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배터리에너지저장장치용 흐름전지시스템 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— 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3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성능 및 안전 요구사항</w:t>
            </w:r>
          </w:p>
        </w:tc>
        <w:tc>
          <w:tcPr>
            <w:tcW w:w="10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375" w:right="0" w:hanging="375"/>
              <w:jc w:val="center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전 항목</w:t>
            </w:r>
          </w:p>
        </w:tc>
      </w:tr>
      <w:tr>
        <w:trPr>
          <w:trHeight w:val="896" w:hRule="atLeast"/>
          <w:cantSplit w:val="0"/>
        </w:trPr>
        <w:tc>
          <w:tcPr>
            <w:tcW w:w="8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</w:t>
            </w:r>
          </w:p>
        </w:tc>
        <w:tc>
          <w:tcPr>
            <w:tcW w:w="61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SPS-C KBIA-30104-01-7345,</w:t>
            </w:r>
          </w:p>
          <w:p>
            <w:pPr>
              <w:pStyle w:val="custom0"/>
              <w:tabs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배터리에너지저장장치용 리튬 이차 전지의 전지관리시스템 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— 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성능 및 안전 요구사항</w:t>
            </w:r>
          </w:p>
        </w:tc>
        <w:tc>
          <w:tcPr>
            <w:tcW w:w="10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375" w:right="0" w:hanging="375"/>
              <w:jc w:val="center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전 항목</w:t>
            </w:r>
          </w:p>
        </w:tc>
      </w:tr>
      <w:tr>
        <w:trPr>
          <w:trHeight w:val="896" w:hRule="atLeast"/>
          <w:cantSplit w:val="0"/>
        </w:trPr>
        <w:tc>
          <w:tcPr>
            <w:tcW w:w="8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</w:t>
            </w:r>
          </w:p>
        </w:tc>
        <w:tc>
          <w:tcPr>
            <w:tcW w:w="61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SPS-C KBIA-10804-01-7563,</w:t>
            </w:r>
          </w:p>
          <w:p>
            <w:pPr>
              <w:pStyle w:val="custom0"/>
              <w:tabs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바나듐이온전지 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— 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성능 요구사항</w:t>
            </w:r>
          </w:p>
        </w:tc>
        <w:tc>
          <w:tcPr>
            <w:tcW w:w="10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375" w:right="0" w:hanging="375"/>
              <w:jc w:val="center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전 항목</w:t>
            </w:r>
          </w:p>
        </w:tc>
      </w:tr>
    </w:tbl>
    <w:p>
      <w:pPr>
        <w:rPr>
          <w:sz w:val="2"/>
        </w:rPr>
      </w:pP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1"/>
        <w:autoSpaceDE w:val="0"/>
        <w:autoSpaceDN w:val="0"/>
        <w:snapToGrid w:val="1"/>
        <w:spacing w:before="0" w:after="0" w:line="249" w:lineRule="auto"/>
        <w:ind w:left="0" w:right="0" w:hanging="0"/>
        <w:jc w:val="center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r>
    </w:p>
    <w:p>
      <w:pPr>
        <w:pStyle w:val="custom0"/>
        <w:tabs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2.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인증에 필요한 시험 관련 자료의 제출</w:t>
      </w:r>
    </w:p>
    <w:p>
      <w:pPr>
        <w:pStyle w:val="custom0"/>
        <w:tabs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3.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인증제품에 대한 사후관리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（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시험성적서에 대한 사후관리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）</w:t>
      </w:r>
    </w:p>
    <w:p>
      <w:pPr>
        <w:pStyle w:val="custom0"/>
        <w:tabs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r>
    </w:p>
    <w:p>
      <w:pPr>
        <w:pStyle w:val="custom0"/>
        <w:tabs/>
        <w:rPr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 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3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조 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(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의무사항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）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66" w:right="0" w:hanging="466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① 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은 계약기간 내에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으로 부터 제품심사 의뢰를 받는 경우 그 업무를 성실히 수행하여야 하며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, KS Q ISO/IEC 17025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의 요구사항을 충족하여야 한다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92" w:right="0" w:hanging="492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②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1"/>
          <w:w w:val="100"/>
          <w:position w:val="0"/>
          <w:sz w:val="30"/>
          <w:szCs w:val="30"/>
          <w:shd w:val="clear" w:color="auto" w:fill="auto"/>
        </w:rPr>
        <w:t xml:space="preserve">시험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 업무를 위탁받고자 하는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"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"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은 다음 각 호에 적합하여야 한다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569" w:right="0" w:hanging="569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6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6"/>
          <w:w w:val="100"/>
          <w:position w:val="0"/>
          <w:sz w:val="30"/>
          <w:szCs w:val="30"/>
          <w:shd w:val="clear" w:color="auto" w:fill="auto"/>
        </w:rPr>
        <w:t xml:space="preserve"> 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6"/>
          <w:w w:val="100"/>
          <w:position w:val="0"/>
          <w:sz w:val="30"/>
          <w:szCs w:val="30"/>
          <w:shd w:val="clear" w:color="auto" w:fill="auto"/>
        </w:rPr>
        <w:t xml:space="preserve">1.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6"/>
          <w:w w:val="100"/>
          <w:position w:val="0"/>
          <w:sz w:val="30"/>
          <w:szCs w:val="30"/>
          <w:shd w:val="clear" w:color="auto" w:fill="auto"/>
        </w:rPr>
        <w:t xml:space="preserve">국가표준기본법 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6"/>
          <w:w w:val="100"/>
          <w:position w:val="0"/>
          <w:sz w:val="30"/>
          <w:szCs w:val="30"/>
          <w:shd w:val="clear" w:color="auto" w:fill="auto"/>
        </w:rPr>
        <w:t xml:space="preserve">23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6"/>
          <w:w w:val="100"/>
          <w:position w:val="0"/>
          <w:sz w:val="30"/>
          <w:szCs w:val="30"/>
          <w:shd w:val="clear" w:color="auto" w:fill="auto"/>
        </w:rPr>
        <w:t xml:space="preserve">조 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6"/>
          <w:w w:val="100"/>
          <w:position w:val="0"/>
          <w:sz w:val="30"/>
          <w:szCs w:val="30"/>
          <w:shd w:val="clear" w:color="auto" w:fill="auto"/>
        </w:rPr>
        <w:t xml:space="preserve">2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6"/>
          <w:w w:val="100"/>
          <w:position w:val="0"/>
          <w:sz w:val="30"/>
          <w:szCs w:val="30"/>
          <w:shd w:val="clear" w:color="auto" w:fill="auto"/>
        </w:rPr>
        <w:t xml:space="preserve">항에 따라 인정받은 공인 시험기관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604" w:right="0" w:hanging="604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1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 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2.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단체표준에 규정한 인증품목별 전 항목을 시험할 수 있는 설비를 보유할 것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1"/>
          <w:w w:val="100"/>
          <w:position w:val="0"/>
          <w:sz w:val="30"/>
          <w:szCs w:val="30"/>
          <w:shd w:val="clear" w:color="auto" w:fill="auto"/>
        </w:rPr>
        <w:t xml:space="preserve">단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1"/>
          <w:w w:val="100"/>
          <w:position w:val="0"/>
          <w:sz w:val="30"/>
          <w:szCs w:val="30"/>
          <w:shd w:val="clear" w:color="auto" w:fill="auto"/>
        </w:rPr>
        <w:t xml:space="preserve">,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1"/>
          <w:w w:val="100"/>
          <w:position w:val="0"/>
          <w:sz w:val="30"/>
          <w:szCs w:val="30"/>
          <w:shd w:val="clear" w:color="auto" w:fill="auto"/>
        </w:rPr>
        <w:t xml:space="preserve">일부 시험 항목만을 위탁받고자 하는 경우는 해당 시험설비를 보유할 것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-1"/>
          <w:w w:val="100"/>
          <w:position w:val="0"/>
          <w:sz w:val="30"/>
          <w:szCs w:val="30"/>
          <w:shd w:val="clear" w:color="auto" w:fill="auto"/>
        </w:rPr>
        <w:t xml:space="preserve">.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76" w:right="0" w:hanging="476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③ 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은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의 위탁업무기관 등록 기준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,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이해관계로부터 독립 등 인증업무규정의 요구사항을 준수하여야 한다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76" w:right="0" w:hanging="476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④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제품인증제도의 효율적인 운영을 위해 국가기술표준원 및 인증기관이 필요한 자료를 요구할 때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,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이에 협조하여야 한다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76" w:right="0" w:hanging="476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76" w:right="0" w:hanging="476"/>
        <w:jc w:val="both"/>
        <w:rPr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4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조 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(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시험분석방법 등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）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73" w:right="0" w:hanging="473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① 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은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이 제시하는 시험방법을 따름을 원칙으로 한다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다만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， 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이 제시하는 방법이 없는 경우에는 적합한 방법을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과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이 상호 협의하여 정한다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83" w:right="0" w:hanging="483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② 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은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이 제시한 시험항목 이외에 소비자의 안전성 확보 또는 재산상의 불이익을 최소화하기 위하여 시험이 필요하다고 판단되는 항목에 대하여는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에게 설명하여야 한다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이 경우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은 특별한 사유가 없는 한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의 의견을 존중한다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66" w:right="0" w:hanging="466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③ 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은 매년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1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회 이상 시험업무의 적정성에 대한 정도관리를 실시하여야 한다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76" w:right="0" w:hanging="476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76" w:right="0" w:hanging="476"/>
        <w:jc w:val="both"/>
        <w:rPr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 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5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조 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(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시험비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）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76" w:right="0" w:hanging="476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① 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이 의뢰하는 제품에 대해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의 시험에 소요된 제반 경비를 시험비라 말한다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76" w:right="0" w:hanging="476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②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시험비는 별도 규정에 따라 정한다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76" w:right="0" w:hanging="476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③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시험성적서 제출 전에 현금 지불을 원칙으로 하되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,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조정이 필요한 경우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"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"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과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"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"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의 협의를 통한 조율을 원칙으로 한다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76" w:right="0" w:hanging="476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76" w:right="0" w:hanging="476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 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6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조 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(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제출서류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）</w:t>
      </w:r>
    </w:p>
    <w:p>
      <w:pPr>
        <w:pStyle w:val="custom0"/>
        <w:tabs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은 계약기간 내에 시험 완료 후 시험성적서 각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1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부를 제출한다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단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’’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이 제출한 시험성적서가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의 인증기준에 미달할 경우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의 요구에 따라 시험을 재 수행하여야 한다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76" w:right="0" w:hanging="476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76" w:right="0" w:hanging="476"/>
        <w:jc w:val="both"/>
        <w:rPr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7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조 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(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계약기간 및 계약해지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）</w:t>
      </w:r>
    </w:p>
    <w:p>
      <w:pPr>
        <w:pStyle w:val="custom0"/>
        <w:tabs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본계약은 년 월 일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〜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년 월 일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（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12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개월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）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로 한다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다만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의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KOLAS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공인시험기관 인정이 유효한 경우에 한하여 계약기간은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1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년 단위로 자동 재연장하되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，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자동 재연장 기간은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4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년을 초과할 수 없다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</w:t>
      </w:r>
    </w:p>
    <w:p>
      <w:pPr>
        <w:pStyle w:val="custom0"/>
        <w:tabs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r>
    </w:p>
    <w:p>
      <w:pPr>
        <w:pStyle w:val="custom0"/>
        <w:tabs/>
        <w:rPr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 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8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조 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(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준칙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）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76" w:right="0" w:hanging="476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① 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은 시험분석을 통하여 얻은 정보나 기밀사항은 외부에 공개할 수 없다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76" w:right="0" w:hanging="476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②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"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"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은 본 시험을 수행함에 있어서 주요사항에 관하여 구체적으로 사전에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"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"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과 협의 후 진행하여야 하고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,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수행기간 중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은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에게 진행사항을 보고할 것을 요구할 수 있으며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,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은 정당한 사유가 없이 이를 거부할 수 없다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76" w:right="0" w:hanging="476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③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"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"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은 시험 수행 중 부적합 사유 및 협의가 필요한 사항이 발생하면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,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그 즉시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"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"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에게 통보 후 협의를 진행하여야 한다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 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76" w:right="0" w:hanging="476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④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"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"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은 제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3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조에 따라 시험장비 및 시험인력에 대한 관리업무를 성실히 이행하여야 하며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,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시험의 신뢰성 유지 및 결과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(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시험성적서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)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에 대한 책임을 진다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76" w:right="0" w:hanging="476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⑤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본 계약에서 정하지 아니한 사항은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의 시험 업무규정에 따른다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다만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，“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의 규정적용이 어려운 경우에는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과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이 상호 협의하여 조정할 수 있다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476" w:right="0" w:hanging="476"/>
        <w:jc w:val="both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r>
    </w:p>
    <w:p>
      <w:pPr>
        <w:pStyle w:val="custom0"/>
        <w:tabs/>
        <w:rPr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 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9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조 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(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소유권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）</w:t>
      </w:r>
    </w:p>
    <w:p>
      <w:pPr>
        <w:pStyle w:val="custom0"/>
        <w:tabs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이 제공하는 자료들과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이 수행하여 작성된 결과물에 대한 소유권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（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지적재산권 포함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）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은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에 귀속되며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,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필요 시 자료를 요청할 수 있다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</w:t>
      </w:r>
    </w:p>
    <w:p>
      <w:pPr>
        <w:pStyle w:val="custom0"/>
        <w:tabs/>
        <w:rPr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r>
    </w:p>
    <w:p>
      <w:pPr>
        <w:pStyle w:val="custom0"/>
        <w:tabs/>
        <w:rPr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10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조 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(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효력의 발생</w:t>
      </w:r>
      <w:r>
        <w:rPr>
          <w:rStyle w:val="custom0"/>
          <w:rFonts w:ascii="굴림" w:hAnsi="Arial Unicode MS" w:eastAsia="굴림" w:cs="굴림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）</w:t>
      </w:r>
    </w:p>
    <w:p>
      <w:pPr>
        <w:pStyle w:val="custom0"/>
        <w:tabs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본 계약은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과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이 서명한 날부터 효력이 발생하며 이를 성실히 준수하기 위하여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갑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과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“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을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”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이 서명한 계약서를 각각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1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부씩 보관한다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.</w:t>
      </w:r>
    </w:p>
    <w:p>
      <w:pPr>
        <w:pStyle w:val="custom0"/>
        <w:tabs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r>
    </w:p>
    <w:p>
      <w:pPr>
        <w:pStyle w:val="custom0"/>
        <w:tabs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r>
    </w:p>
    <w:p>
      <w:pPr>
        <w:pStyle w:val="custom0"/>
        <w:tabs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1"/>
        <w:autoSpaceDE w:val="0"/>
        <w:autoSpaceDN w:val="0"/>
        <w:snapToGrid w:val="1"/>
        <w:spacing w:before="0" w:after="0" w:line="249" w:lineRule="auto"/>
        <w:ind w:left="0" w:right="0" w:hanging="0"/>
        <w:jc w:val="right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0000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년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00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월 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00</w:t>
      </w: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일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1"/>
        <w:autoSpaceDE w:val="0"/>
        <w:autoSpaceDN w:val="0"/>
        <w:snapToGrid w:val="1"/>
        <w:spacing w:before="0" w:after="0" w:line="249" w:lineRule="auto"/>
        <w:ind w:left="0" w:right="0" w:hanging="0"/>
        <w:jc w:val="right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r>
    </w:p>
    <w:tbl>
      <w:tblPr>
        <w:jc w:val="righ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362"/>
        <w:gridCol w:w="3400"/>
        <w:gridCol w:w="1362"/>
        <w:gridCol w:w="3400"/>
      </w:tblGrid>
      <w:tr>
        <w:trPr>
          <w:trHeight w:val="56" w:hRule="atLeast"/>
          <w:cantSplit w:val="0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굴림" w:hAnsi="Arial Unicode MS" w:eastAsia="굴림" w:cs="굴림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"</w:t>
            </w:r>
            <w:r>
              <w:rPr>
                <w:rStyle w:val="custom0"/>
                <w:rFonts w:ascii="굴림" w:hAnsi="Arial Unicode MS" w:eastAsia="굴림" w:cs="굴림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갑</w:t>
            </w:r>
            <w:r>
              <w:rPr>
                <w:rStyle w:val="custom0"/>
                <w:rFonts w:ascii="굴림" w:hAnsi="Arial Unicode MS" w:eastAsia="굴림" w:cs="굴림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"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color="000000" w:sz="2" w:space="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굴림" w:hAnsi="Arial Unicode MS" w:eastAsia="굴림" w:cs="굴림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</w:r>
          </w:p>
        </w:tc>
        <w:tc>
          <w:tcPr>
            <w:tcW w:w="1362" w:type="dxa"/>
            <w:tcBorders>
              <w:top w:val="nil"/>
              <w:left w:val="single" w:color="000000" w:sz="2" w:space="0"/>
              <w:bottom w:val="nil"/>
              <w:right w:val="nil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굴림" w:hAnsi="Arial Unicode MS" w:eastAsia="굴림" w:cs="굴림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"</w:t>
            </w:r>
            <w:r>
              <w:rPr>
                <w:rStyle w:val="custom0"/>
                <w:rFonts w:ascii="굴림" w:hAnsi="Arial Unicode MS" w:eastAsia="굴림" w:cs="굴림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을</w:t>
            </w:r>
            <w:r>
              <w:rPr>
                <w:rStyle w:val="custom0"/>
                <w:rFonts w:ascii="굴림" w:hAnsi="Arial Unicode MS" w:eastAsia="굴림" w:cs="굴림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"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>
            <w:pPr>
              <w:pStyle w:val="custom0"/>
              <w:tabs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</w:r>
          </w:p>
        </w:tc>
      </w:tr>
      <w:tr>
        <w:trPr>
          <w:trHeight w:val="56" w:hRule="atLeast"/>
          <w:cantSplit w:val="0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회사명 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: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color="000000" w:sz="2" w:space="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33"/>
                <w:w w:val="100"/>
                <w:position w:val="0"/>
                <w:sz w:val="30"/>
                <w:szCs w:val="3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33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한국배터리산업협회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회사명 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: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</w:r>
          </w:p>
        </w:tc>
      </w:tr>
      <w:tr>
        <w:trPr>
          <w:trHeight w:val="56" w:hRule="atLeast"/>
          <w:cantSplit w:val="0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  주소 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: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color="000000" w:sz="2" w:space="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0" w:right="0" w:hanging="0"/>
              <w:jc w:val="center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30"/>
                <w:w w:val="100"/>
                <w:position w:val="0"/>
                <w:sz w:val="30"/>
                <w:szCs w:val="3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9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서울시 서초구 바우뫼로 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9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37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9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길 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9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37,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3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 산업기술진흥협회회관 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3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7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3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·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3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8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3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층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  주소 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: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0" w:right="0" w:hanging="0"/>
              <w:jc w:val="center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</w:r>
          </w:p>
        </w:tc>
      </w:tr>
      <w:tr>
        <w:trPr>
          <w:trHeight w:val="56" w:hRule="atLeast"/>
          <w:cantSplit w:val="0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대표자 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: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color="000000" w:sz="2" w:space="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right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(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인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대표자 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: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right"/>
              <w:rPr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</w:pP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(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인</w:t>
            </w:r>
            <w:r>
              <w:rPr>
                <w:rStyle w:val="custom0"/>
                <w:rFonts w:ascii="굴림" w:hAnsi="Arial Unicode MS" w:eastAsia="굴림" w:cs="굴림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0"/>
                <w:szCs w:val="30"/>
                <w:shd w:val="clear" w:color="auto" w:fill="auto"/>
              </w:rPr>
              <w:t xml:space="preserve">)</w:t>
            </w:r>
          </w:p>
        </w:tc>
      </w:tr>
    </w:tbl>
    <w:p>
      <w:pPr>
        <w:rPr>
          <w:sz w:val="2"/>
        </w:rPr>
      </w:pP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1"/>
        <w:autoSpaceDE w:val="0"/>
        <w:autoSpaceDN w:val="0"/>
        <w:snapToGrid w:val="1"/>
        <w:spacing w:before="0" w:after="0" w:line="249" w:lineRule="auto"/>
        <w:ind w:left="0" w:right="0" w:hanging="0"/>
        <w:jc w:val="right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1"/>
        <w:autoSpaceDE w:val="0"/>
        <w:autoSpaceDN w:val="0"/>
        <w:snapToGrid w:val="1"/>
        <w:spacing w:before="0" w:after="0" w:line="249" w:lineRule="auto"/>
        <w:ind w:left="0" w:right="0" w:hanging="0"/>
        <w:jc w:val="right"/>
        <w:rPr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굴림" w:hAnsi="Arial Unicode MS" w:eastAsia="굴림" w:cs="굴림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r>
    </w:p>
    <w:sectPr>
      <w:footnotePr>
        <w:numFmt w:val="decimal"/>
        <w:numStart w:val="1"/>
      </w:footnotePr>
      <w:endnotePr>
        <w:numFmt w:val="decimal"/>
        <w:numStart w:val="1"/>
      </w:endnotePr>
      <w:pgSz w:w="11905" w:h="16837"/>
      <w:pgMar w:top="1417" w:right="1133" w:bottom="1417" w:left="1133" w:header="566" w:footer="566" w:gutter="0"/>
      <w:pgBorders/>
      <w:docGrid/>
    </w:sectPr>
  </w:body>
</w:document>
</file>

<file path=word\endnotes.xml><?xml version="1.0" encoding="utf-8"?>
<w:endnote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/>
</file>

<file path=word\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\footnotes.xml><?xml version="1.0" encoding="utf-8"?>
<w:footnote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/>
</file>

<file path=word\numbering.xml><?xml version="1.0" encoding="utf-8"?>
<w:numbering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abstractNum w:abstractNumId="1">
    <w:multiLevelType w:val="multilevel"/>
    <w:lvl w:ilvl="0">
      <w:start w:val="1"/>
      <w:numFmt w:val="decimal"/>
      <w:suff w:val="space"/>
      <w:lvlText w:val="%1."/>
      <w:lvlJc w:val="left"/>
      <w:pPr>
        <w:ind w:left="0" w:hanging="0"/>
      </w:pPr>
      <w:rPr/>
    </w:lvl>
    <w:lvl w:ilvl="1">
      <w:start w:val="1"/>
      <w:numFmt w:val="ganada"/>
      <w:suff w:val="space"/>
      <w:lvlText w:val="%2."/>
      <w:lvlJc w:val="left"/>
      <w:pPr>
        <w:ind w:left="0" w:hanging="0"/>
      </w:pPr>
      <w:rPr/>
    </w:lvl>
    <w:lvl w:ilvl="2">
      <w:start w:val="1"/>
      <w:numFmt w:val="decimal"/>
      <w:suff w:val="space"/>
      <w:lvlText w:val="%3)"/>
      <w:lvlJc w:val="left"/>
      <w:pPr>
        <w:ind w:left="0" w:hanging="0"/>
      </w:pPr>
      <w:rPr/>
    </w:lvl>
    <w:lvl w:ilvl="3">
      <w:start w:val="1"/>
      <w:numFmt w:val="ganada"/>
      <w:suff w:val="space"/>
      <w:lvlText w:val="%4)"/>
      <w:lvlJc w:val="left"/>
      <w:pPr>
        <w:ind w:left="0" w:hanging="0"/>
      </w:pPr>
      <w:rPr/>
    </w:lvl>
    <w:lvl w:ilvl="4">
      <w:start w:val="1"/>
      <w:numFmt w:val="decimal"/>
      <w:suff w:val="space"/>
      <w:lvlText w:val="(%5)"/>
      <w:lvlJc w:val="left"/>
      <w:pPr>
        <w:ind w:left="0" w:hanging="0"/>
      </w:pPr>
      <w:rPr/>
    </w:lvl>
    <w:lvl w:ilvl="5">
      <w:start w:val="1"/>
      <w:numFmt w:val="ganada"/>
      <w:suff w:val="space"/>
      <w:lvlText w:val="(%6)"/>
      <w:lvlJc w:val="left"/>
      <w:pPr>
        <w:ind w:left="0" w:hanging="0"/>
      </w:pPr>
      <w:rPr/>
    </w:lvl>
    <w:lvl w:ilvl="6">
      <w:start w:val="1"/>
      <w:numFmt w:val="decimalEnclosedCircle"/>
      <w:suff w:val="space"/>
      <w:lvlText w:val="%7"/>
      <w:lvlJc w:val="left"/>
      <w:pPr>
        <w:ind w:left="0" w:hanging="0"/>
      </w:pPr>
      <w:rPr/>
    </w:lvl>
  </w:abstractNum>
  <w:abstractNum w:abstractNumId="2">
    <w:multiLevelType w:val="multilevel"/>
    <w:lvl w:ilvl="0">
      <w:start w:val="1"/>
      <w:numFmt w:val="decimal"/>
      <w:suff w:val="space"/>
      <w:lvlText w:val="%1."/>
      <w:lvlJc w:val="left"/>
      <w:pPr>
        <w:ind w:left="0" w:hanging="0"/>
      </w:pPr>
      <w:rPr/>
    </w:lvl>
    <w:lvl w:ilvl="1">
      <w:start w:val="1"/>
      <w:numFmt w:val="decimal"/>
      <w:suff w:val="space"/>
      <w:lvlText w:val="%1.%2."/>
      <w:lvlJc w:val="left"/>
      <w:pPr>
        <w:ind w:left="0" w:hanging="0"/>
      </w:pPr>
      <w:rPr/>
    </w:lvl>
    <w:lvl w:ilvl="2">
      <w:start w:val="1"/>
      <w:numFmt w:val="decimal"/>
      <w:suff w:val="space"/>
      <w:lvlText w:val="%1.%2.%3."/>
      <w:lvlJc w:val="left"/>
      <w:pPr>
        <w:ind w:left="0" w:hanging="0"/>
      </w:pPr>
      <w:rPr/>
    </w:lvl>
    <w:lvl w:ilvl="3">
      <w:start w:val="1"/>
      <w:numFmt w:val="decimal"/>
      <w:suff w:val="space"/>
      <w:lvlText w:val="%1.%2.%3.%4."/>
      <w:lvlJc w:val="left"/>
      <w:pPr>
        <w:ind w:left="0" w:hanging="0"/>
      </w:pPr>
      <w:rPr/>
    </w:lvl>
    <w:lvl w:ilvl="4">
      <w:start w:val="1"/>
      <w:numFmt w:val="decimal"/>
      <w:suff w:val="space"/>
      <w:lvlText w:val="%1.%2.%3.%4.%5."/>
      <w:lvlJc w:val="left"/>
      <w:pPr>
        <w:ind w:left="0" w:hanging="0"/>
      </w:pPr>
      <w:rPr/>
    </w:lvl>
    <w:lvl w:ilvl="5">
      <w:start w:val="1"/>
      <w:numFmt w:val="decimal"/>
      <w:suff w:val="space"/>
      <w:lvlText w:val="%1.%2.%3.%4.%5.%6."/>
      <w:lvlJc w:val="left"/>
      <w:pPr>
        <w:ind w:left="0" w:hanging="0"/>
      </w:pPr>
      <w:rPr/>
    </w:lvl>
    <w:lvl w:ilvl="6">
      <w:start w:val="1"/>
      <w:numFmt w:val="decimal"/>
      <w:suff w:val="space"/>
      <w:lvlText w:val="%1.%2.%3.%4.%5.%6.%7."/>
      <w:lvlJc w:val="left"/>
      <w:pPr>
        <w:ind w:left="0" w:hanging="0"/>
      </w:pPr>
      <w:rPr/>
    </w:lvl>
  </w:abstractNum>
  <w:abstractNum w:abstractNumId="3">
    <w:multiLevelType w:val="multilevel"/>
    <w:lvl w:ilvl="0">
      <w:start w:val="1"/>
      <w:numFmt w:val="bullet"/>
      <w:suff w:val="space"/>
      <w:lvlText w:val="∙"/>
      <w:lvlJc w:val="left"/>
      <w:pPr>
        <w:ind w:left="0" w:hanging="0"/>
      </w:pPr>
      <w:rPr>
        <w:rFonts w:hint="default" w:ascii="Arial Unicode MS" w:hAnsi="Arial Unicode M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\settings.xml><?xml version="1.0" encoding="utf-8"?>
<w:setting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zoom w:percent="10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</w:settings>
</file>

<file path=word\styles.xml><?xml version="1.0" encoding="utf-8"?>
<w:style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docDefaults>
    <w:pPrDefault>
      <w:pPr>
        <w:spacing w:before="0" w:after="0" w:line="240" w:lineRule="auto"/>
      </w:pPr>
    </w:pPrDefault>
  </w:docDefaults>
  <w:latentStyles w:defLockedState="1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9"/>
    <w:lsdException w:name="Title" w:uiPriority="35" w:qFormat="1"/>
    <w:lsdException w:name="Default Paragraph Font" w:uiPriority="10" w:semiHidden="0" w:unhideWhenUsed="0" w:qFormat="1"/>
    <w:lsdException w:name="Subtitle" w:uiPriority="1"/>
    <w:lsdException w:name="Strong" w:uiPriority="11" w:semiHidden="0" w:unhideWhenUsed="0" w:qFormat="1"/>
    <w:lsdException w:name="Emphasis" w:uiPriority="22" w:semiHidden="0" w:unhideWhenUsed="0" w:qFormat="1"/>
    <w:lsdException w:name="Table Grid" w:uiPriority="20" w:semiHidden="0" w:unhideWhenUsed="0" w:qFormat="1"/>
    <w:lsdException w:name="Placeholder Text" w:uiPriority="59" w:semiHidden="0" w:unhideWhenUsed="0"/>
    <w:lsdException w:name="No Spacing" w:unhideWhenUsed="0"/>
    <w:lsdException w:name="Light Shading" w:uiPriority="1" w:semiHidden="0" w:unhideWhenUsed="0" w:qFormat="1"/>
    <w:lsdException w:name="Light List" w:uiPriority="60" w:semiHidden="0" w:unhideWhenUsed="0"/>
    <w:lsdException w:name="Light Grid" w:uiPriority="61" w:semiHidden="0" w:unhideWhenUsed="0"/>
    <w:lsdException w:name="Medium Shading 1" w:uiPriority="62" w:semiHidden="0" w:unhideWhenUsed="0"/>
    <w:lsdException w:name="Medium Shading 2" w:uiPriority="63" w:semiHidden="0" w:unhideWhenUsed="0"/>
    <w:lsdException w:name="Medium List 1" w:uiPriority="64" w:semiHidden="0" w:unhideWhenUsed="0"/>
    <w:lsdException w:name="Medium List 2" w:uiPriority="65" w:semiHidden="0" w:unhideWhenUsed="0"/>
    <w:lsdException w:name="Medium Grid 1" w:uiPriority="66" w:semiHidden="0" w:unhideWhenUsed="0"/>
    <w:lsdException w:name="Medium Grid 2" w:uiPriority="67" w:semiHidden="0" w:unhideWhenUsed="0"/>
    <w:lsdException w:name="Medium Grid 3" w:uiPriority="68" w:semiHidden="0" w:unhideWhenUsed="0"/>
    <w:lsdException w:name="Dark List" w:uiPriority="69" w:semiHidden="0" w:unhideWhenUsed="0"/>
    <w:lsdException w:name="Colorful Shading" w:uiPriority="70" w:semiHidden="0" w:unhideWhenUsed="0"/>
    <w:lsdException w:name="Colorful List" w:uiPriority="71" w:semiHidden="0" w:unhideWhenUsed="0"/>
    <w:lsdException w:name="Colorful Grid" w:uiPriority="72" w:semiHidden="0" w:unhideWhenUsed="0"/>
    <w:lsdException w:name="Light Shading Accent 1" w:uiPriority="73" w:semiHidden="0" w:unhideWhenUsed="0"/>
    <w:lsdException w:name="Light List Accent 1" w:uiPriority="60" w:semiHidden="0" w:unhideWhenUsed="0"/>
    <w:lsdException w:name="Light Grid Accent 1" w:uiPriority="61" w:semiHidden="0" w:unhideWhenUsed="0"/>
    <w:lsdException w:name="Medium Shading 1 Accent 1" w:uiPriority="62" w:semiHidden="0" w:unhideWhenUsed="0"/>
    <w:lsdException w:name="Medium Shading 2 Accent 1" w:uiPriority="63" w:semiHidden="0" w:unhideWhenUsed="0"/>
    <w:lsdException w:name="Medium List 1 Accent 1" w:uiPriority="64" w:semiHidden="0" w:unhideWhenUsed="0"/>
    <w:lsdException w:name="Revision" w:uiPriority="65" w:semiHidden="0" w:unhideWhenUsed="0"/>
    <w:lsdException w:name="List Paragraph" w:unhideWhenUsed="0"/>
    <w:lsdException w:name="Quote" w:uiPriority="34" w:semiHidden="0" w:unhideWhenUsed="0" w:qFormat="1"/>
    <w:lsdException w:name="Intense Quote" w:uiPriority="29" w:semiHidden="0" w:unhideWhenUsed="0" w:qFormat="1"/>
    <w:lsdException w:name="Medium List 2 Accent 1" w:uiPriority="30" w:semiHidden="0" w:unhideWhenUsed="0" w:qFormat="1"/>
    <w:lsdException w:name="Medium Grid 1 Accent 1" w:uiPriority="66" w:semiHidden="0" w:unhideWhenUsed="0"/>
    <w:lsdException w:name="Medium Grid 2 Accent 1" w:uiPriority="67" w:semiHidden="0" w:unhideWhenUsed="0"/>
    <w:lsdException w:name="Medium Grid 3 Accent 1" w:uiPriority="68" w:semiHidden="0" w:unhideWhenUsed="0"/>
    <w:lsdException w:name="Dark List Accent 1" w:uiPriority="69" w:semiHidden="0" w:unhideWhenUsed="0"/>
    <w:lsdException w:name="Colorful Shading Accent 1" w:uiPriority="70" w:semiHidden="0" w:unhideWhenUsed="0"/>
    <w:lsdException w:name="Colorful List Accent 1" w:uiPriority="71" w:semiHidden="0" w:unhideWhenUsed="0"/>
    <w:lsdException w:name="Colorful Grid Accent 1" w:uiPriority="72" w:semiHidden="0" w:unhideWhenUsed="0"/>
    <w:lsdException w:name="Light Shading Accent 2" w:uiPriority="73" w:semiHidden="0" w:unhideWhenUsed="0"/>
    <w:lsdException w:name="Light List Accent 2" w:uiPriority="60" w:semiHidden="0" w:unhideWhenUsed="0"/>
    <w:lsdException w:name="Light Grid Accent 2" w:uiPriority="61" w:semiHidden="0" w:unhideWhenUsed="0"/>
    <w:lsdException w:name="Medium Shading 1 Accent 2" w:uiPriority="62" w:semiHidden="0" w:unhideWhenUsed="0"/>
    <w:lsdException w:name="Medium Shading 2 Accent 2" w:uiPriority="63" w:semiHidden="0" w:unhideWhenUsed="0"/>
    <w:lsdException w:name="Medium List 1 Accent 2" w:uiPriority="64" w:semiHidden="0" w:unhideWhenUsed="0"/>
    <w:lsdException w:name="Medium List 2 Accent 2" w:uiPriority="65" w:semiHidden="0" w:unhideWhenUsed="0"/>
    <w:lsdException w:name="Medium Grid 1 Accent 2" w:uiPriority="66" w:semiHidden="0" w:unhideWhenUsed="0"/>
    <w:lsdException w:name="Medium Grid 2 Accent 2" w:uiPriority="67" w:semiHidden="0" w:unhideWhenUsed="0"/>
    <w:lsdException w:name="Medium Grid 3 Accent 2" w:uiPriority="68" w:semiHidden="0" w:unhideWhenUsed="0"/>
    <w:lsdException w:name="Dark List Accent 2" w:uiPriority="69" w:semiHidden="0" w:unhideWhenUsed="0"/>
    <w:lsdException w:name="Colorful Shading Accent 2" w:uiPriority="70" w:semiHidden="0" w:unhideWhenUsed="0"/>
    <w:lsdException w:name="Colorful List Accent 2" w:uiPriority="71" w:semiHidden="0" w:unhideWhenUsed="0"/>
    <w:lsdException w:name="Colorful Grid Accent 2" w:uiPriority="72" w:semiHidden="0" w:unhideWhenUsed="0"/>
    <w:lsdException w:name="Light Shading Accent 3" w:uiPriority="73" w:semiHidden="0" w:unhideWhenUsed="0"/>
    <w:lsdException w:name="Light List Accent 3" w:uiPriority="60" w:semiHidden="0" w:unhideWhenUsed="0"/>
    <w:lsdException w:name="Light Grid Accent 3" w:uiPriority="61" w:semiHidden="0" w:unhideWhenUsed="0"/>
    <w:lsdException w:name="Medium Shading 1 Accent 3" w:uiPriority="62" w:semiHidden="0" w:unhideWhenUsed="0"/>
    <w:lsdException w:name="Medium Shading 2 Accent 3" w:uiPriority="63" w:semiHidden="0" w:unhideWhenUsed="0"/>
    <w:lsdException w:name="Medium List 1 Accent 3" w:uiPriority="64" w:semiHidden="0" w:unhideWhenUsed="0"/>
    <w:lsdException w:name="Medium List 2 Accent 3" w:uiPriority="65" w:semiHidden="0" w:unhideWhenUsed="0"/>
    <w:lsdException w:name="Medium Grid 1 Accent 3" w:uiPriority="66" w:semiHidden="0" w:unhideWhenUsed="0"/>
    <w:lsdException w:name="Medium Grid 2 Accent 3" w:uiPriority="67" w:semiHidden="0" w:unhideWhenUsed="0"/>
    <w:lsdException w:name="Medium Grid 3 Accent 3" w:uiPriority="68" w:semiHidden="0" w:unhideWhenUsed="0"/>
    <w:lsdException w:name="Dark List Accent 3" w:uiPriority="69" w:semiHidden="0" w:unhideWhenUsed="0"/>
    <w:lsdException w:name="Colorful Shading Accent 3" w:uiPriority="70" w:semiHidden="0" w:unhideWhenUsed="0"/>
    <w:lsdException w:name="Colorful List Accent 3" w:uiPriority="71" w:semiHidden="0" w:unhideWhenUsed="0"/>
    <w:lsdException w:name="Colorful Grid Accent 3" w:uiPriority="72" w:semiHidden="0" w:unhideWhenUsed="0"/>
    <w:lsdException w:name="Light Shading Accent 4" w:uiPriority="73" w:semiHidden="0" w:unhideWhenUsed="0"/>
    <w:lsdException w:name="Light List Accent 4" w:uiPriority="60" w:semiHidden="0" w:unhideWhenUsed="0"/>
    <w:lsdException w:name="Light Grid Accent 4" w:uiPriority="61" w:semiHidden="0" w:unhideWhenUsed="0"/>
    <w:lsdException w:name="Medium Shading 1 Accent 4" w:uiPriority="62" w:semiHidden="0" w:unhideWhenUsed="0"/>
    <w:lsdException w:name="Medium Shading 2 Accent 4" w:uiPriority="63" w:semiHidden="0" w:unhideWhenUsed="0"/>
    <w:lsdException w:name="Medium List 1 Accent 4" w:uiPriority="64" w:semiHidden="0" w:unhideWhenUsed="0"/>
    <w:lsdException w:name="Medium List 2 Accent 4" w:uiPriority="65" w:semiHidden="0" w:unhideWhenUsed="0"/>
    <w:lsdException w:name="Medium Grid 1 Accent 4" w:uiPriority="66" w:semiHidden="0" w:unhideWhenUsed="0"/>
    <w:lsdException w:name="Medium Grid 2 Accent 4" w:uiPriority="67" w:semiHidden="0" w:unhideWhenUsed="0"/>
    <w:lsdException w:name="Medium Grid 3 Accent 4" w:uiPriority="68" w:semiHidden="0" w:unhideWhenUsed="0"/>
    <w:lsdException w:name="Dark List Accent 4" w:uiPriority="69" w:semiHidden="0" w:unhideWhenUsed="0"/>
    <w:lsdException w:name="Colorful Shading Accent 4" w:uiPriority="70" w:semiHidden="0" w:unhideWhenUsed="0"/>
    <w:lsdException w:name="Colorful List Accent 4" w:uiPriority="71" w:semiHidden="0" w:unhideWhenUsed="0"/>
    <w:lsdException w:name="Colorful Grid Accent 4" w:uiPriority="72" w:semiHidden="0" w:unhideWhenUsed="0"/>
    <w:lsdException w:name="Light Shading Accent 5" w:uiPriority="73" w:semiHidden="0" w:unhideWhenUsed="0"/>
    <w:lsdException w:name="Light List Accent 5" w:uiPriority="60" w:semiHidden="0" w:unhideWhenUsed="0"/>
    <w:lsdException w:name="Light Grid Accent 5" w:uiPriority="61" w:semiHidden="0" w:unhideWhenUsed="0"/>
    <w:lsdException w:name="Medium Shading 1 Accent 5" w:uiPriority="62" w:semiHidden="0" w:unhideWhenUsed="0"/>
    <w:lsdException w:name="Medium Shading 2 Accent 5" w:uiPriority="63" w:semiHidden="0" w:unhideWhenUsed="0"/>
    <w:lsdException w:name="Medium List 1 Accent 5" w:uiPriority="64" w:semiHidden="0" w:unhideWhenUsed="0"/>
    <w:lsdException w:name="Medium List 2 Accent 5" w:uiPriority="65" w:semiHidden="0" w:unhideWhenUsed="0"/>
    <w:lsdException w:name="Medium Grid 1 Accent 5" w:uiPriority="66" w:semiHidden="0" w:unhideWhenUsed="0"/>
    <w:lsdException w:name="Medium Grid 2 Accent 5" w:uiPriority="67" w:semiHidden="0" w:unhideWhenUsed="0"/>
    <w:lsdException w:name="Medium Grid 3 Accent 5" w:uiPriority="68" w:semiHidden="0" w:unhideWhenUsed="0"/>
    <w:lsdException w:name="Dark List Accent 5" w:uiPriority="69" w:semiHidden="0" w:unhideWhenUsed="0"/>
    <w:lsdException w:name="Colorful Shading Accent 5" w:uiPriority="70" w:semiHidden="0" w:unhideWhenUsed="0"/>
    <w:lsdException w:name="Colorful List Accent 5" w:uiPriority="71" w:semiHidden="0" w:unhideWhenUsed="0"/>
    <w:lsdException w:name="Colorful Grid Accent 5" w:uiPriority="72" w:semiHidden="0" w:unhideWhenUsed="0"/>
    <w:lsdException w:name="Light Shading Accent 6" w:uiPriority="73" w:semiHidden="0" w:unhideWhenUsed="0"/>
    <w:lsdException w:name="Light List Accent 6" w:uiPriority="60" w:semiHidden="0" w:unhideWhenUsed="0"/>
    <w:lsdException w:name="Light Grid Accent 6" w:uiPriority="61" w:semiHidden="0" w:unhideWhenUsed="0"/>
    <w:lsdException w:name="Medium Shading 1 Accent 6" w:uiPriority="62" w:semiHidden="0" w:unhideWhenUsed="0"/>
    <w:lsdException w:name="Medium Shading 2 Accent 6" w:uiPriority="63" w:semiHidden="0" w:unhideWhenUsed="0"/>
    <w:lsdException w:name="Medium List 1 Accent 6" w:uiPriority="64" w:semiHidden="0" w:unhideWhenUsed="0"/>
    <w:lsdException w:name="Medium List 2 Accent 6" w:uiPriority="65" w:semiHidden="0" w:unhideWhenUsed="0"/>
    <w:lsdException w:name="Medium Grid 1 Accent 6" w:uiPriority="66" w:semiHidden="0" w:unhideWhenUsed="0"/>
    <w:lsdException w:name="Medium Grid 2 Accent 6" w:uiPriority="67" w:semiHidden="0" w:unhideWhenUsed="0"/>
    <w:lsdException w:name="Medium Grid 3 Accent 6" w:uiPriority="68" w:semiHidden="0" w:unhideWhenUsed="0"/>
    <w:lsdException w:name="Dark List Accent 6" w:uiPriority="69" w:semiHidden="0" w:unhideWhenUsed="0"/>
    <w:lsdException w:name="Colorful Shading Accent 6" w:uiPriority="70" w:semiHidden="0" w:unhideWhenUsed="0"/>
    <w:lsdException w:name="Colorful List Accent 6" w:uiPriority="71" w:semiHidden="0" w:unhideWhenUsed="0"/>
    <w:lsdException w:name="Colorful Grid Accent 6" w:uiPriority="72" w:semiHidden="0" w:unhideWhenUsed="0"/>
    <w:lsdException w:name="Subtle Emphasis" w:uiPriority="73" w:semiHidden="0" w:unhideWhenUsed="0"/>
    <w:lsdException w:name="Intense Emphasis" w:uiPriority="19" w:semiHidden="0" w:unhideWhenUsed="0" w:qFormat="1"/>
    <w:lsdException w:name="Subtle Reference" w:uiPriority="21" w:semiHidden="0" w:unhideWhenUsed="0" w:qFormat="1"/>
    <w:lsdException w:name="Intense Reference" w:uiPriority="31" w:semiHidden="0" w:unhideWhenUsed="0" w:qFormat="1"/>
    <w:lsdException w:name="Book Title" w:uiPriority="32" w:semiHidden="0" w:unhideWhenUsed="0" w:qFormat="1"/>
    <w:lsdException w:name="Bibliography" w:uiPriority="33" w:semiHidden="0" w:unhideWhenUsed="0" w:qFormat="1"/>
    <w:lsdException w:name="TOC Heading" w:uiPriority="37"/>
    <w:lsdException w:name="TOC Heading" w:uiPriority="39" w:qFormat="1"/>
  </w:latentStyles>
  <w:style w:type="paragraph" w:styleId="a" w:default="1">
    <w:name w:val="Normal"/>
    <w:qFormat/>
    <w:pPr>
      <w:widowControl w:val="0"/>
      <w:wordWrap w:val="0"/>
      <w:autoSpaceDE w:val="0"/>
      <w:autoSpaceDN w:val="0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styleId="Char" w:default="1">
    <w:name w:val="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styleId="Char0" w:default="1">
    <w:name w:val="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styleId="custom0">
    <w:name w:val="바탕글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">
    <w:name w:val="본문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3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2">
    <w:name w:val="개요 1"/>
    <w:qFormat/>
    <w:pPr>
      <w:keepNext w:val="0"/>
      <w:keepLines w:val="0"/>
      <w:pageBreakBefore w:val="0"/>
      <w:widowControl w:val="0"/>
      <w:numPr>
        <w:ilvl w:val="0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2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3">
    <w:name w:val="개요 2"/>
    <w:qFormat/>
    <w:pPr>
      <w:keepNext w:val="0"/>
      <w:keepLines w:val="0"/>
      <w:pageBreakBefore w:val="0"/>
      <w:widowControl w:val="0"/>
      <w:numPr>
        <w:ilvl w:val="1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4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4">
    <w:name w:val="개요 3"/>
    <w:qFormat/>
    <w:pPr>
      <w:keepNext w:val="0"/>
      <w:keepLines w:val="0"/>
      <w:pageBreakBefore w:val="0"/>
      <w:widowControl w:val="0"/>
      <w:numPr>
        <w:ilvl w:val="2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6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5">
    <w:name w:val="개요 4"/>
    <w:qFormat/>
    <w:pPr>
      <w:keepNext w:val="0"/>
      <w:keepLines w:val="0"/>
      <w:pageBreakBefore w:val="0"/>
      <w:widowControl w:val="0"/>
      <w:numPr>
        <w:ilvl w:val="3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8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6">
    <w:name w:val="개요 5"/>
    <w:qFormat/>
    <w:pPr>
      <w:keepNext w:val="0"/>
      <w:keepLines w:val="0"/>
      <w:pageBreakBefore w:val="0"/>
      <w:widowControl w:val="0"/>
      <w:numPr>
        <w:ilvl w:val="4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0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7">
    <w:name w:val="개요 6"/>
    <w:qFormat/>
    <w:pPr>
      <w:keepNext w:val="0"/>
      <w:keepLines w:val="0"/>
      <w:pageBreakBefore w:val="0"/>
      <w:widowControl w:val="0"/>
      <w:numPr>
        <w:ilvl w:val="5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2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8">
    <w:name w:val="개요 7"/>
    <w:qFormat/>
    <w:pPr>
      <w:keepNext w:val="0"/>
      <w:keepLines w:val="0"/>
      <w:pageBreakBefore w:val="0"/>
      <w:widowControl w:val="0"/>
      <w:numPr>
        <w:ilvl w:val="6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4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9">
    <w:name w:val="개요 8"/>
    <w:qFormat/>
    <w:pPr>
      <w:keepNext w:val="0"/>
      <w:keepLines w:val="0"/>
      <w:pageBreakBefore w:val="0"/>
      <w:widowControl w:val="0"/>
      <w:numPr>
        <w:ilvl w:val="6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6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0">
    <w:name w:val="개요 9"/>
    <w:qFormat/>
    <w:pPr>
      <w:keepNext w:val="0"/>
      <w:keepLines w:val="0"/>
      <w:pageBreakBefore w:val="0"/>
      <w:widowControl w:val="0"/>
      <w:numPr>
        <w:ilvl w:val="6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8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1">
    <w:name w:val="개요 10"/>
    <w:qFormat/>
    <w:pPr>
      <w:keepNext w:val="0"/>
      <w:keepLines w:val="0"/>
      <w:pageBreakBefore w:val="0"/>
      <w:widowControl w:val="0"/>
      <w:numPr>
        <w:ilvl w:val="6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20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character" w:styleId="custom12">
    <w:name w:val="쪽 번호"/>
    <w:qFormat/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3">
    <w:name w:val="머리말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0" w:line="240" w:lineRule="auto"/>
      <w:ind w:left="0" w:right="0" w:hanging="0"/>
      <w:jc w:val="both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14">
    <w:name w:val="각주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0" w:lineRule="auto"/>
      <w:ind w:left="262" w:right="0" w:hanging="262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15">
    <w:name w:val="미주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0" w:lineRule="auto"/>
      <w:ind w:left="262" w:right="0" w:hanging="262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16">
    <w:name w:val="메모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0" w:line="240" w:lineRule="auto"/>
      <w:ind w:left="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-4"/>
      <w:w w:val="100"/>
      <w:position w:val="0"/>
      <w:sz w:val="18"/>
      <w:szCs w:val="18"/>
      <w:shd w:val="clear" w:color="auto" w:fill="auto"/>
    </w:rPr>
  </w:style>
  <w:style w:type="paragraph" w:styleId="custom17">
    <w:name w:val="차례 제목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240" w:after="60" w:line="249" w:lineRule="auto"/>
      <w:ind w:left="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2e74b5"/>
      <w:spacing w:val="0"/>
      <w:w w:val="100"/>
      <w:position w:val="0"/>
      <w:sz w:val="32"/>
      <w:szCs w:val="32"/>
      <w:shd w:val="clear" w:color="auto" w:fill="auto"/>
    </w:rPr>
  </w:style>
  <w:style w:type="paragraph" w:styleId="custom18">
    <w:name w:val="차례 1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140" w:line="249" w:lineRule="auto"/>
      <w:ind w:left="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2"/>
      <w:szCs w:val="22"/>
      <w:shd w:val="clear" w:color="auto" w:fill="auto"/>
    </w:rPr>
  </w:style>
  <w:style w:type="paragraph" w:styleId="custom19">
    <w:name w:val="차례 2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140" w:line="249" w:lineRule="auto"/>
      <w:ind w:left="22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2"/>
      <w:szCs w:val="22"/>
      <w:shd w:val="clear" w:color="auto" w:fill="auto"/>
    </w:rPr>
  </w:style>
  <w:style w:type="paragraph" w:styleId="custom20">
    <w:name w:val="차례 3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140" w:line="249" w:lineRule="auto"/>
      <w:ind w:left="44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2"/>
      <w:szCs w:val="22"/>
      <w:shd w:val="clear" w:color="auto" w:fill="auto"/>
    </w:rPr>
  </w:style>
  <w:style w:type="paragraph" w:styleId="custom21">
    <w:name w:val="캡션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160" w:line="240" w:lineRule="auto"/>
      <w:ind w:left="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</w:styles>
</file>

<file path=word\theme\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\webSettings.xml><?xml version="1.0" encoding="utf-8"?>
<w:webSettings xmlns:r="http://schemas.openxmlformats.org/officeDocument/2006/relationships" xmlns:w="http://schemas.openxmlformats.org/wordprocessingml/2006/main">
  <w:optimizeForBrowser/>
</w:webSettings>
</file>